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0D4E" w14:textId="3EEB3E51" w:rsidR="00F91730" w:rsidRPr="00F91730" w:rsidRDefault="00F91730" w:rsidP="00F91730">
      <w:pPr>
        <w:ind w:left="1800" w:hanging="1800"/>
        <w:rPr>
          <w:rFonts w:eastAsia="MS Mincho"/>
          <w:b/>
          <w:sz w:val="24"/>
          <w:szCs w:val="24"/>
          <w:lang w:val="en-GB" w:eastAsia="x-none"/>
        </w:rPr>
      </w:pPr>
      <w:r w:rsidRPr="00F91730">
        <w:rPr>
          <w:rFonts w:eastAsia="MS Mincho"/>
          <w:b/>
          <w:sz w:val="24"/>
          <w:szCs w:val="24"/>
          <w:lang w:val="en-GB" w:eastAsia="x-none"/>
        </w:rPr>
        <w:t>3GPP TSG-RAN WG2 Meeting #113 bis electronic</w:t>
      </w:r>
      <w:r w:rsidRPr="00F91730">
        <w:rPr>
          <w:rFonts w:eastAsia="MS Mincho"/>
          <w:b/>
          <w:sz w:val="24"/>
          <w:szCs w:val="24"/>
          <w:lang w:val="en-GB" w:eastAsia="x-none"/>
        </w:rPr>
        <w:tab/>
      </w:r>
      <w:r>
        <w:rPr>
          <w:rFonts w:eastAsia="MS Mincho"/>
          <w:b/>
          <w:sz w:val="24"/>
          <w:szCs w:val="24"/>
          <w:lang w:val="en-GB" w:eastAsia="x-none"/>
        </w:rPr>
        <w:tab/>
      </w:r>
      <w:r>
        <w:rPr>
          <w:rFonts w:eastAsia="MS Mincho"/>
          <w:b/>
          <w:sz w:val="24"/>
          <w:szCs w:val="24"/>
          <w:lang w:val="en-GB" w:eastAsia="x-none"/>
        </w:rPr>
        <w:tab/>
      </w:r>
      <w:r>
        <w:rPr>
          <w:rFonts w:eastAsia="MS Mincho"/>
          <w:b/>
          <w:sz w:val="24"/>
          <w:szCs w:val="24"/>
          <w:lang w:val="en-GB" w:eastAsia="x-none"/>
        </w:rPr>
        <w:tab/>
      </w:r>
      <w:r>
        <w:rPr>
          <w:rFonts w:eastAsia="MS Mincho"/>
          <w:b/>
          <w:sz w:val="24"/>
          <w:szCs w:val="24"/>
          <w:lang w:val="en-GB" w:eastAsia="x-none"/>
        </w:rPr>
        <w:tab/>
      </w:r>
      <w:r w:rsidR="004B0E87" w:rsidRPr="004B0E87">
        <w:rPr>
          <w:rFonts w:eastAsia="MS Mincho"/>
          <w:b/>
          <w:sz w:val="24"/>
          <w:szCs w:val="24"/>
          <w:lang w:val="en-GB" w:eastAsia="x-none"/>
        </w:rPr>
        <w:t>R2-210395</w:t>
      </w:r>
      <w:r w:rsidR="004B0E87">
        <w:rPr>
          <w:rFonts w:eastAsia="MS Mincho"/>
          <w:b/>
          <w:sz w:val="24"/>
          <w:szCs w:val="24"/>
          <w:lang w:val="en-GB" w:eastAsia="x-none"/>
        </w:rPr>
        <w:t>6</w:t>
      </w:r>
    </w:p>
    <w:p w14:paraId="4BE03D54" w14:textId="77777777" w:rsidR="00F91730" w:rsidRDefault="00F91730" w:rsidP="00F91730">
      <w:pPr>
        <w:ind w:left="1800" w:hanging="1800"/>
        <w:rPr>
          <w:rFonts w:eastAsia="MS Mincho"/>
          <w:b/>
          <w:sz w:val="24"/>
          <w:szCs w:val="24"/>
          <w:lang w:val="en-GB" w:eastAsia="x-none"/>
        </w:rPr>
      </w:pPr>
      <w:r w:rsidRPr="00F91730">
        <w:rPr>
          <w:rFonts w:eastAsia="MS Mincho"/>
          <w:b/>
          <w:sz w:val="24"/>
          <w:szCs w:val="24"/>
          <w:lang w:val="en-GB" w:eastAsia="x-none"/>
        </w:rPr>
        <w:t>Online, April 12 – April 20, 2021</w:t>
      </w:r>
    </w:p>
    <w:p w14:paraId="5852342B" w14:textId="7EDEFEC1" w:rsidR="0060603E" w:rsidRPr="00212204" w:rsidRDefault="0060603E" w:rsidP="00F91730">
      <w:pPr>
        <w:ind w:left="1800" w:hanging="1800"/>
        <w:rPr>
          <w:b/>
          <w:sz w:val="24"/>
          <w:szCs w:val="24"/>
        </w:rPr>
      </w:pPr>
      <w:r w:rsidRPr="00212204">
        <w:rPr>
          <w:b/>
          <w:sz w:val="24"/>
          <w:szCs w:val="24"/>
        </w:rPr>
        <w:t>Agenda Item:</w:t>
      </w:r>
      <w:r w:rsidRPr="00212204">
        <w:rPr>
          <w:sz w:val="24"/>
          <w:szCs w:val="24"/>
        </w:rPr>
        <w:tab/>
      </w:r>
      <w:bookmarkStart w:id="0" w:name="Source"/>
      <w:bookmarkEnd w:id="0"/>
      <w:r w:rsidR="00417F07">
        <w:rPr>
          <w:b/>
          <w:sz w:val="24"/>
          <w:szCs w:val="24"/>
        </w:rPr>
        <w:t>8</w:t>
      </w:r>
      <w:r w:rsidR="00E06B55">
        <w:rPr>
          <w:b/>
          <w:sz w:val="24"/>
          <w:szCs w:val="24"/>
        </w:rPr>
        <w:t>.</w:t>
      </w:r>
      <w:r w:rsidR="00303715">
        <w:rPr>
          <w:b/>
          <w:sz w:val="24"/>
          <w:szCs w:val="24"/>
        </w:rPr>
        <w:t>7.</w:t>
      </w:r>
      <w:r w:rsidR="00F91730">
        <w:rPr>
          <w:b/>
          <w:sz w:val="24"/>
          <w:szCs w:val="24"/>
        </w:rPr>
        <w:t>4.1</w:t>
      </w:r>
    </w:p>
    <w:p w14:paraId="64A845F0"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446280D3" w14:textId="07DF77A9" w:rsidR="00303715" w:rsidRDefault="0060603E" w:rsidP="004131D6">
      <w:pPr>
        <w:ind w:left="1800" w:hanging="1800"/>
        <w:rPr>
          <w:b/>
          <w:sz w:val="24"/>
          <w:szCs w:val="24"/>
        </w:rPr>
      </w:pPr>
      <w:r w:rsidRPr="00212204">
        <w:rPr>
          <w:b/>
          <w:sz w:val="24"/>
          <w:szCs w:val="24"/>
        </w:rPr>
        <w:t>Title:</w:t>
      </w:r>
      <w:r w:rsidR="002D479B" w:rsidRPr="005F705D">
        <w:rPr>
          <w:b/>
          <w:sz w:val="24"/>
          <w:szCs w:val="24"/>
        </w:rPr>
        <w:tab/>
      </w:r>
      <w:r w:rsidR="008B0107">
        <w:rPr>
          <w:b/>
          <w:sz w:val="24"/>
          <w:szCs w:val="24"/>
        </w:rPr>
        <w:t xml:space="preserve">Control plane </w:t>
      </w:r>
      <w:r w:rsidR="007968B8">
        <w:rPr>
          <w:b/>
          <w:sz w:val="24"/>
          <w:szCs w:val="24"/>
        </w:rPr>
        <w:t>multi-connectivity</w:t>
      </w:r>
      <w:r w:rsidR="008B0107">
        <w:rPr>
          <w:b/>
          <w:sz w:val="24"/>
          <w:szCs w:val="24"/>
        </w:rPr>
        <w:t xml:space="preserve"> for</w:t>
      </w:r>
      <w:r w:rsidR="00303715" w:rsidRPr="00303715">
        <w:rPr>
          <w:b/>
          <w:sz w:val="24"/>
          <w:szCs w:val="24"/>
        </w:rPr>
        <w:t xml:space="preserve"> </w:t>
      </w:r>
      <w:r w:rsidR="008B0107">
        <w:rPr>
          <w:b/>
          <w:sz w:val="24"/>
          <w:szCs w:val="24"/>
        </w:rPr>
        <w:t xml:space="preserve">NR </w:t>
      </w:r>
      <w:r w:rsidR="00303715" w:rsidRPr="00303715">
        <w:rPr>
          <w:b/>
          <w:sz w:val="24"/>
          <w:szCs w:val="24"/>
        </w:rPr>
        <w:t>Sidelink Relay</w:t>
      </w:r>
      <w:r w:rsidR="007968B8">
        <w:rPr>
          <w:b/>
          <w:sz w:val="24"/>
          <w:szCs w:val="24"/>
        </w:rPr>
        <w:t xml:space="preserve"> UE</w:t>
      </w:r>
      <w:bookmarkStart w:id="1" w:name="_GoBack"/>
      <w:bookmarkEnd w:id="1"/>
    </w:p>
    <w:p w14:paraId="7A7A05B8" w14:textId="7B7EA3E5"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363A55BC"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76F7EABB" w14:textId="05EBF339"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8B0107">
        <w:rPr>
          <w:rFonts w:ascii="Calibri" w:eastAsia="Malgun Gothic" w:hAnsi="Calibri" w:cs="Batang"/>
          <w:lang w:val="en-GB" w:eastAsia="ko-KR"/>
        </w:rPr>
        <w:t>Work</w:t>
      </w:r>
      <w:r w:rsidRPr="004131D6">
        <w:rPr>
          <w:rFonts w:ascii="Calibri" w:eastAsia="Malgun Gothic" w:hAnsi="Calibri" w:cs="Batang"/>
          <w:lang w:val="en-GB" w:eastAsia="ko-KR"/>
        </w:rPr>
        <w:t xml:space="preserve"> Item on NR</w:t>
      </w:r>
      <w:r w:rsidR="008F0816">
        <w:rPr>
          <w:rFonts w:ascii="Calibri" w:eastAsia="Malgun Gothic" w:hAnsi="Calibri" w:cs="Batang"/>
          <w:lang w:val="en-GB" w:eastAsia="ko-KR"/>
        </w:rPr>
        <w:t xml:space="preserve"> Sidelink Relay</w:t>
      </w:r>
      <w:r w:rsidRPr="004131D6">
        <w:rPr>
          <w:rFonts w:ascii="Calibri" w:eastAsia="Malgun Gothic" w:hAnsi="Calibri" w:cs="Batang"/>
          <w:lang w:val="en-GB" w:eastAsia="ko-KR"/>
        </w:rPr>
        <w:t xml:space="preserve"> [1], 3GPP has agreed </w:t>
      </w:r>
      <w:r w:rsidR="004131D6" w:rsidRPr="004131D6">
        <w:rPr>
          <w:rFonts w:ascii="Calibri" w:eastAsia="Malgun Gothic" w:hAnsi="Calibri" w:cs="Batang"/>
          <w:lang w:val="en-GB" w:eastAsia="ko-KR"/>
        </w:rPr>
        <w:t xml:space="preserve">to </w:t>
      </w:r>
      <w:r w:rsidR="008B0107">
        <w:rPr>
          <w:rFonts w:ascii="Calibri" w:eastAsia="Malgun Gothic" w:hAnsi="Calibri" w:cs="Batang"/>
          <w:lang w:val="en-GB" w:eastAsia="ko-KR"/>
        </w:rPr>
        <w:t>the</w:t>
      </w:r>
      <w:r w:rsidR="008F0816">
        <w:rPr>
          <w:rFonts w:ascii="Calibri" w:eastAsia="Malgun Gothic" w:hAnsi="Calibri" w:cs="Batang"/>
          <w:lang w:val="en-GB" w:eastAsia="ko-KR"/>
        </w:rPr>
        <w:t xml:space="preserve"> following</w:t>
      </w:r>
      <w:r w:rsidR="002F05F3">
        <w:rPr>
          <w:rFonts w:ascii="Calibri" w:eastAsia="Malgun Gothic" w:hAnsi="Calibri" w:cs="Batang"/>
          <w:lang w:val="en-GB" w:eastAsia="ko-KR"/>
        </w:rPr>
        <w:t>:</w:t>
      </w:r>
    </w:p>
    <w:tbl>
      <w:tblPr>
        <w:tblW w:w="10252"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2"/>
      </w:tblGrid>
      <w:tr w:rsidR="008B0107" w14:paraId="105697DB" w14:textId="77777777" w:rsidTr="008B0107">
        <w:trPr>
          <w:trHeight w:val="7496"/>
        </w:trPr>
        <w:tc>
          <w:tcPr>
            <w:tcW w:w="10252" w:type="dxa"/>
          </w:tcPr>
          <w:p w14:paraId="52061D8B" w14:textId="77777777" w:rsidR="008B0107" w:rsidRDefault="008B0107" w:rsidP="008B0107">
            <w:pPr>
              <w:spacing w:before="120" w:after="0" w:line="280" w:lineRule="atLeast"/>
              <w:ind w:left="126"/>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single-hop, sidelink-based, </w:t>
            </w:r>
            <w:r w:rsidRPr="004A48AD">
              <w:t xml:space="preserve">L2 and L3 based </w:t>
            </w:r>
            <w:r>
              <w:t xml:space="preserve">UE-to-Network (U2N) </w:t>
            </w:r>
            <w:r w:rsidRPr="004A48AD">
              <w:t>relaying</w:t>
            </w:r>
            <w:r>
              <w:t>.</w:t>
            </w:r>
            <w:r w:rsidRPr="00AB7525">
              <w:t xml:space="preserve"> </w:t>
            </w:r>
          </w:p>
          <w:p w14:paraId="4FA82F2B" w14:textId="77777777" w:rsidR="008B0107" w:rsidRDefault="008B0107" w:rsidP="008B0107">
            <w:pPr>
              <w:spacing w:before="120" w:after="0" w:line="280" w:lineRule="atLeast"/>
              <w:ind w:left="126"/>
            </w:pPr>
            <w:bookmarkStart w:id="3" w:name="_Hlk67323386"/>
            <w:r>
              <w:t>Work Item objectives on aspects common to both L2 and L3:</w:t>
            </w:r>
          </w:p>
          <w:bookmarkEnd w:id="3"/>
          <w:p w14:paraId="02265E04" w14:textId="77777777" w:rsidR="008B0107" w:rsidRPr="00B41C20" w:rsidRDefault="008B0107" w:rsidP="008B0107">
            <w:pPr>
              <w:pStyle w:val="ListParagraph"/>
              <w:numPr>
                <w:ilvl w:val="0"/>
                <w:numId w:val="25"/>
              </w:numPr>
              <w:overflowPunct w:val="0"/>
              <w:autoSpaceDE w:val="0"/>
              <w:autoSpaceDN w:val="0"/>
              <w:adjustRightInd w:val="0"/>
              <w:spacing w:before="120" w:after="0" w:line="280" w:lineRule="atLeast"/>
              <w:ind w:left="486"/>
            </w:pPr>
            <w:r>
              <w:t xml:space="preserve">Specify mechanisms for U2N </w:t>
            </w:r>
            <w:r>
              <w:rPr>
                <w:b/>
                <w:bCs/>
              </w:rPr>
              <w:t>r</w:t>
            </w:r>
            <w:r w:rsidRPr="00B41C20">
              <w:rPr>
                <w:b/>
                <w:bCs/>
              </w:rPr>
              <w:t>elay discovery and (re)selection</w:t>
            </w:r>
            <w:r>
              <w:t xml:space="preserve"> for L3 and L2 relaying </w:t>
            </w:r>
            <w:r w:rsidRPr="00B41C20">
              <w:t>[RAN2, RAN4]</w:t>
            </w:r>
          </w:p>
          <w:p w14:paraId="14F16751" w14:textId="77777777" w:rsidR="008B0107" w:rsidRPr="002F756E" w:rsidRDefault="008B0107" w:rsidP="008B0107">
            <w:pPr>
              <w:pStyle w:val="ListParagraph"/>
              <w:numPr>
                <w:ilvl w:val="1"/>
                <w:numId w:val="25"/>
              </w:numPr>
              <w:overflowPunct w:val="0"/>
              <w:autoSpaceDE w:val="0"/>
              <w:autoSpaceDN w:val="0"/>
              <w:adjustRightInd w:val="0"/>
              <w:spacing w:before="120" w:after="0" w:line="280" w:lineRule="atLeast"/>
              <w:ind w:left="1206"/>
            </w:pPr>
            <w:r>
              <w:t xml:space="preserve">Re-use LTE </w:t>
            </w:r>
            <w:r w:rsidRPr="00415805">
              <w:t xml:space="preserve">relay discovery and </w:t>
            </w:r>
            <w:r>
              <w:t>(re)</w:t>
            </w:r>
            <w:r w:rsidRPr="00415805">
              <w:t>selection</w:t>
            </w:r>
            <w:r>
              <w:t xml:space="preserve"> as baseline</w:t>
            </w:r>
          </w:p>
          <w:p w14:paraId="0C155A2F" w14:textId="77777777" w:rsidR="008B0107" w:rsidRDefault="008B0107" w:rsidP="008B0107">
            <w:pPr>
              <w:pStyle w:val="ListParagraph"/>
              <w:numPr>
                <w:ilvl w:val="0"/>
                <w:numId w:val="25"/>
              </w:numPr>
              <w:overflowPunct w:val="0"/>
              <w:autoSpaceDE w:val="0"/>
              <w:autoSpaceDN w:val="0"/>
              <w:adjustRightInd w:val="0"/>
              <w:spacing w:before="120" w:after="0" w:line="280" w:lineRule="atLeast"/>
              <w:ind w:left="486"/>
            </w:pPr>
            <w:r>
              <w:t xml:space="preserve">Specify mechanisms for </w:t>
            </w:r>
            <w:r w:rsidRPr="002F756E">
              <w:rPr>
                <w:b/>
                <w:bCs/>
              </w:rPr>
              <w:t>Relay and Remote UE authorization</w:t>
            </w:r>
            <w:r>
              <w:t xml:space="preserve"> </w:t>
            </w:r>
            <w:r w:rsidRPr="002F756E">
              <w:t xml:space="preserve">for L3 and L2 relaying </w:t>
            </w:r>
            <w:r>
              <w:t>[RAN3]</w:t>
            </w:r>
          </w:p>
          <w:p w14:paraId="2A3179B1" w14:textId="77777777" w:rsidR="008B0107" w:rsidRDefault="008B0107" w:rsidP="008B0107">
            <w:pPr>
              <w:pStyle w:val="ListParagraph"/>
              <w:numPr>
                <w:ilvl w:val="1"/>
                <w:numId w:val="25"/>
              </w:numPr>
              <w:overflowPunct w:val="0"/>
              <w:autoSpaceDE w:val="0"/>
              <w:autoSpaceDN w:val="0"/>
              <w:adjustRightInd w:val="0"/>
              <w:spacing w:before="120" w:after="0" w:line="280" w:lineRule="atLeast"/>
              <w:ind w:left="1206"/>
            </w:pPr>
            <w:r w:rsidRPr="002F756E">
              <w:t xml:space="preserve">Re-use </w:t>
            </w:r>
            <w:r w:rsidRPr="004772EC">
              <w:t>LTE</w:t>
            </w:r>
            <w:r>
              <w:t xml:space="preserve"> </w:t>
            </w:r>
            <w:r w:rsidRPr="002F756E">
              <w:t>as baseline</w:t>
            </w:r>
          </w:p>
          <w:p w14:paraId="4716531E" w14:textId="77777777" w:rsidR="008B0107" w:rsidRPr="007E2FF1" w:rsidRDefault="008B0107" w:rsidP="008B0107">
            <w:pPr>
              <w:spacing w:before="120" w:after="0" w:line="280" w:lineRule="atLeast"/>
              <w:ind w:left="126"/>
            </w:pPr>
            <w:r w:rsidRPr="0025736B">
              <w:t xml:space="preserve">Work Item objectives </w:t>
            </w:r>
            <w:r>
              <w:t xml:space="preserve">specific </w:t>
            </w:r>
            <w:r w:rsidRPr="0025736B">
              <w:t xml:space="preserve">to </w:t>
            </w:r>
            <w:r>
              <w:t>Layer-2 (</w:t>
            </w:r>
            <w:r w:rsidRPr="0025736B">
              <w:t>L2</w:t>
            </w:r>
            <w:r>
              <w:t>)</w:t>
            </w:r>
            <w:r w:rsidRPr="0025736B">
              <w:t xml:space="preserve"> </w:t>
            </w:r>
            <w:r w:rsidRPr="007E2FF1">
              <w:t>relaying:</w:t>
            </w:r>
          </w:p>
          <w:p w14:paraId="3E7F7B3E" w14:textId="77777777" w:rsidR="008B0107" w:rsidRPr="007E2FF1" w:rsidRDefault="008B0107" w:rsidP="008B0107">
            <w:pPr>
              <w:pStyle w:val="ListParagraph"/>
              <w:numPr>
                <w:ilvl w:val="0"/>
                <w:numId w:val="25"/>
              </w:numPr>
              <w:overflowPunct w:val="0"/>
              <w:autoSpaceDE w:val="0"/>
              <w:autoSpaceDN w:val="0"/>
              <w:adjustRightInd w:val="0"/>
              <w:spacing w:before="120" w:after="0" w:line="280" w:lineRule="atLeast"/>
              <w:ind w:left="486"/>
            </w:pPr>
            <w:r w:rsidRPr="007E2FF1">
              <w:t>Specify mechanisms for E2E</w:t>
            </w:r>
            <w:r>
              <w:t>, i.e. PC5 and Uu,</w:t>
            </w:r>
            <w:r w:rsidRPr="007E2FF1">
              <w:t xml:space="preserve"> </w:t>
            </w:r>
            <w:r w:rsidRPr="007E2FF1">
              <w:rPr>
                <w:b/>
                <w:bCs/>
              </w:rPr>
              <w:t>QoS management</w:t>
            </w:r>
            <w:r w:rsidRPr="007E2FF1">
              <w:t xml:space="preserve"> [RAN2]:</w:t>
            </w:r>
          </w:p>
          <w:p w14:paraId="3BA7CF18" w14:textId="77777777" w:rsidR="008B0107" w:rsidRPr="007E2FF1" w:rsidRDefault="008B0107" w:rsidP="008B0107">
            <w:pPr>
              <w:pStyle w:val="ListParagraph"/>
              <w:numPr>
                <w:ilvl w:val="0"/>
                <w:numId w:val="25"/>
              </w:numPr>
              <w:overflowPunct w:val="0"/>
              <w:autoSpaceDE w:val="0"/>
              <w:autoSpaceDN w:val="0"/>
              <w:adjustRightInd w:val="0"/>
              <w:spacing w:before="120" w:after="0" w:line="280" w:lineRule="atLeast"/>
              <w:ind w:left="486"/>
            </w:pPr>
            <w:r w:rsidRPr="007E2FF1">
              <w:t xml:space="preserve">Specify mechanisms for </w:t>
            </w:r>
            <w:r w:rsidRPr="007E2FF1">
              <w:rPr>
                <w:b/>
                <w:bCs/>
              </w:rPr>
              <w:t>service continuity</w:t>
            </w:r>
            <w:r w:rsidRPr="007E2FF1">
              <w:t xml:space="preserve"> </w:t>
            </w:r>
          </w:p>
          <w:p w14:paraId="2FC08FD4" w14:textId="77777777" w:rsidR="008B0107" w:rsidRPr="007E2FF1" w:rsidRDefault="008B0107" w:rsidP="008B0107">
            <w:pPr>
              <w:pStyle w:val="ListParagraph"/>
              <w:numPr>
                <w:ilvl w:val="1"/>
                <w:numId w:val="25"/>
              </w:numPr>
              <w:overflowPunct w:val="0"/>
              <w:autoSpaceDE w:val="0"/>
              <w:autoSpaceDN w:val="0"/>
              <w:adjustRightInd w:val="0"/>
              <w:spacing w:before="120" w:after="0" w:line="280" w:lineRule="atLeast"/>
              <w:ind w:left="1206"/>
            </w:pPr>
            <w:r w:rsidRPr="007E2FF1">
              <w:t>Limited to intra-</w:t>
            </w:r>
            <w:proofErr w:type="spellStart"/>
            <w:r w:rsidRPr="007E2FF1">
              <w:t>gNB</w:t>
            </w:r>
            <w:proofErr w:type="spellEnd"/>
            <w:r w:rsidRPr="007E2FF1">
              <w:t xml:space="preserve"> cases [RAN2]</w:t>
            </w:r>
          </w:p>
          <w:p w14:paraId="095A9621" w14:textId="77777777" w:rsidR="008B0107" w:rsidRPr="007E2FF1" w:rsidRDefault="008B0107" w:rsidP="008B0107">
            <w:pPr>
              <w:pStyle w:val="ListParagraph"/>
              <w:numPr>
                <w:ilvl w:val="0"/>
                <w:numId w:val="25"/>
              </w:numPr>
              <w:overflowPunct w:val="0"/>
              <w:autoSpaceDE w:val="0"/>
              <w:autoSpaceDN w:val="0"/>
              <w:adjustRightInd w:val="0"/>
              <w:spacing w:before="120" w:after="0" w:line="280" w:lineRule="atLeast"/>
              <w:ind w:left="486"/>
            </w:pPr>
            <w:r w:rsidRPr="007E2FF1">
              <w:t xml:space="preserve">Specify mechanisms for U2N </w:t>
            </w:r>
            <w:r w:rsidRPr="007E2FF1">
              <w:rPr>
                <w:b/>
                <w:bCs/>
              </w:rPr>
              <w:t>Adaptation layer design</w:t>
            </w:r>
            <w:r w:rsidRPr="007E2FF1">
              <w:t xml:space="preserve"> [RAN2]</w:t>
            </w:r>
          </w:p>
          <w:p w14:paraId="733E28DB" w14:textId="77777777" w:rsidR="008B0107" w:rsidRPr="007E2FF1" w:rsidRDefault="008B0107" w:rsidP="008B0107">
            <w:pPr>
              <w:pStyle w:val="ListParagraph"/>
              <w:numPr>
                <w:ilvl w:val="1"/>
                <w:numId w:val="25"/>
              </w:numPr>
              <w:overflowPunct w:val="0"/>
              <w:autoSpaceDE w:val="0"/>
              <w:autoSpaceDN w:val="0"/>
              <w:adjustRightInd w:val="0"/>
              <w:spacing w:before="120" w:after="0" w:line="280" w:lineRule="atLeast"/>
              <w:ind w:left="1206"/>
            </w:pPr>
            <w:r w:rsidRPr="007E2FF1">
              <w:t>For bearer mapping and Remote UE identification, incl. RAN related security aspects</w:t>
            </w:r>
            <w:r>
              <w:t xml:space="preserve"> if any</w:t>
            </w:r>
          </w:p>
          <w:p w14:paraId="32B25498" w14:textId="77777777" w:rsidR="008B0107" w:rsidRDefault="008B0107" w:rsidP="008B0107">
            <w:pPr>
              <w:pStyle w:val="ListParagraph"/>
              <w:numPr>
                <w:ilvl w:val="0"/>
                <w:numId w:val="25"/>
              </w:numPr>
              <w:overflowPunct w:val="0"/>
              <w:autoSpaceDE w:val="0"/>
              <w:autoSpaceDN w:val="0"/>
              <w:adjustRightInd w:val="0"/>
              <w:spacing w:before="120" w:after="0" w:line="280" w:lineRule="atLeast"/>
              <w:ind w:left="486"/>
            </w:pPr>
            <w:r w:rsidRPr="007E2FF1">
              <w:t xml:space="preserve">Specify </w:t>
            </w:r>
            <w:r w:rsidRPr="007E2FF1">
              <w:rPr>
                <w:b/>
                <w:bCs/>
              </w:rPr>
              <w:t>Control Plane procedure</w:t>
            </w:r>
            <w:r>
              <w:rPr>
                <w:b/>
                <w:bCs/>
              </w:rPr>
              <w:t>s</w:t>
            </w:r>
            <w:r w:rsidRPr="007E2FF1">
              <w:t xml:space="preserve"> for U2N, including RRC connection management, system information delivery, paging mechanism and access control for Remote UE [RAN2, RAN3]</w:t>
            </w:r>
          </w:p>
          <w:p w14:paraId="7E640895" w14:textId="77777777" w:rsidR="008B0107" w:rsidRPr="007E2FF1" w:rsidRDefault="008B0107" w:rsidP="008B0107">
            <w:pPr>
              <w:pStyle w:val="NO"/>
              <w:ind w:left="1261"/>
            </w:pPr>
          </w:p>
          <w:p w14:paraId="5EAA3343" w14:textId="77777777" w:rsidR="008B0107" w:rsidRDefault="008B0107" w:rsidP="008B0107">
            <w:pPr>
              <w:pStyle w:val="NO"/>
              <w:ind w:left="1261"/>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427D8A59" w14:textId="77777777" w:rsidR="008B0107" w:rsidRDefault="008B0107" w:rsidP="008B0107">
            <w:pPr>
              <w:pStyle w:val="NO"/>
              <w:ind w:left="1261"/>
            </w:pPr>
            <w:r>
              <w:t>NOTE 2:</w:t>
            </w:r>
            <w:r>
              <w:tab/>
              <w:t xml:space="preserve">For L2 UE-to-Network Relay, it is assumed that the Remote UE has a single active connection towards </w:t>
            </w:r>
            <w:proofErr w:type="spellStart"/>
            <w:r>
              <w:t>gNB</w:t>
            </w:r>
            <w:proofErr w:type="spellEnd"/>
            <w:r>
              <w:t xml:space="preserve"> via only a single Relay UE at a given time in this release.</w:t>
            </w:r>
          </w:p>
          <w:p w14:paraId="69C8FFEF" w14:textId="77777777" w:rsidR="008B0107" w:rsidRDefault="008B0107" w:rsidP="008B0107">
            <w:pPr>
              <w:pStyle w:val="NO"/>
              <w:ind w:left="1261"/>
            </w:pPr>
            <w:r>
              <w:t>NOTE 3:</w:t>
            </w:r>
            <w:r>
              <w:tab/>
              <w:t xml:space="preserve">Only NR </w:t>
            </w:r>
            <w:proofErr w:type="spellStart"/>
            <w:r>
              <w:t>Uu</w:t>
            </w:r>
            <w:proofErr w:type="spellEnd"/>
            <w:r>
              <w:t xml:space="preserve"> interface, i.e. </w:t>
            </w:r>
            <w:proofErr w:type="spellStart"/>
            <w:r>
              <w:t>gNB</w:t>
            </w:r>
            <w:proofErr w:type="spellEnd"/>
            <w:r>
              <w:t>, and 5GC is considered, and it is limited to NR SA scenario in this release.</w:t>
            </w:r>
          </w:p>
          <w:p w14:paraId="40296D65" w14:textId="339EAFBF" w:rsidR="008B0107" w:rsidRDefault="008B0107" w:rsidP="008B0107">
            <w:pPr>
              <w:pStyle w:val="NO"/>
              <w:ind w:left="1261"/>
            </w:pPr>
            <w:r>
              <w:t>NOTE 4:</w:t>
            </w:r>
            <w:r>
              <w:tab/>
              <w:t>Work specific to the mobility scenario of “between indirect (via a first Relay UE) and indirect (via a second Relay UE)”, and the group mobility is not supported in this release.</w:t>
            </w:r>
          </w:p>
        </w:tc>
      </w:tr>
    </w:tbl>
    <w:p w14:paraId="0AB8400B" w14:textId="77777777" w:rsidR="00C408C7" w:rsidRDefault="00C408C7" w:rsidP="004A7002">
      <w:pPr>
        <w:rPr>
          <w:rFonts w:ascii="Calibri" w:eastAsia="Malgun Gothic" w:hAnsi="Calibri" w:cs="Batang"/>
          <w:lang w:val="en-GB" w:eastAsia="ko-KR"/>
        </w:rPr>
      </w:pPr>
    </w:p>
    <w:p w14:paraId="597DA981" w14:textId="1D2EF75C" w:rsidR="004A7002" w:rsidRDefault="00B96A9C" w:rsidP="00CB3597">
      <w:pPr>
        <w:spacing w:line="288" w:lineRule="auto"/>
        <w:rPr>
          <w:rFonts w:ascii="Calibri" w:eastAsia="Malgun Gothic" w:hAnsi="Calibri" w:cs="Batang"/>
          <w:lang w:val="en-GB" w:eastAsia="ko-KR"/>
        </w:rPr>
      </w:pPr>
      <w:r>
        <w:rPr>
          <w:rFonts w:ascii="Calibri" w:eastAsia="Malgun Gothic" w:hAnsi="Calibri" w:cs="Batang"/>
          <w:lang w:val="en-GB" w:eastAsia="ko-KR"/>
        </w:rPr>
        <w:t xml:space="preserve">This contribution discusses the benefits of leveraging </w:t>
      </w:r>
      <w:r w:rsidR="008B0107">
        <w:rPr>
          <w:rFonts w:ascii="Calibri" w:eastAsia="Malgun Gothic" w:hAnsi="Calibri" w:cs="Batang"/>
          <w:lang w:val="en-GB" w:eastAsia="ko-KR"/>
        </w:rPr>
        <w:t>multi-connectivity at the Relay UE to support</w:t>
      </w:r>
      <w:r>
        <w:rPr>
          <w:rFonts w:ascii="Calibri" w:eastAsia="Malgun Gothic" w:hAnsi="Calibri" w:cs="Batang"/>
          <w:lang w:val="en-GB" w:eastAsia="ko-KR"/>
        </w:rPr>
        <w:t xml:space="preserve"> control </w:t>
      </w:r>
      <w:r w:rsidR="008B0107">
        <w:rPr>
          <w:rFonts w:ascii="Calibri" w:eastAsia="Malgun Gothic" w:hAnsi="Calibri" w:cs="Batang"/>
          <w:lang w:val="en-GB" w:eastAsia="ko-KR"/>
        </w:rPr>
        <w:t xml:space="preserve">plane </w:t>
      </w:r>
      <w:r>
        <w:rPr>
          <w:rFonts w:ascii="Calibri" w:eastAsia="Malgun Gothic" w:hAnsi="Calibri" w:cs="Batang"/>
          <w:lang w:val="en-GB" w:eastAsia="ko-KR"/>
        </w:rPr>
        <w:t xml:space="preserve">mechanisms for SL relays based on </w:t>
      </w:r>
      <w:r w:rsidR="008B0107">
        <w:rPr>
          <w:rFonts w:ascii="Calibri" w:eastAsia="Malgun Gothic" w:hAnsi="Calibri" w:cs="Batang"/>
          <w:lang w:val="en-GB" w:eastAsia="ko-KR"/>
        </w:rPr>
        <w:t>NR DC</w:t>
      </w:r>
      <w:r>
        <w:rPr>
          <w:rFonts w:ascii="Calibri" w:eastAsia="Malgun Gothic" w:hAnsi="Calibri" w:cs="Batang"/>
          <w:lang w:val="en-GB" w:eastAsia="ko-KR"/>
        </w:rPr>
        <w:t>.</w:t>
      </w:r>
    </w:p>
    <w:p w14:paraId="2DD453EC" w14:textId="188476FA" w:rsidR="008B0107" w:rsidRDefault="008B0107" w:rsidP="00CB3597">
      <w:pPr>
        <w:spacing w:line="288" w:lineRule="auto"/>
        <w:rPr>
          <w:rFonts w:ascii="Calibri" w:eastAsia="Malgun Gothic" w:hAnsi="Calibri" w:cs="Batang"/>
          <w:lang w:val="en-GB" w:eastAsia="ko-KR"/>
        </w:rPr>
      </w:pPr>
    </w:p>
    <w:p w14:paraId="2CD50108" w14:textId="77777777" w:rsidR="008B0107" w:rsidRPr="004131D6" w:rsidRDefault="008B0107" w:rsidP="00CB3597">
      <w:pPr>
        <w:spacing w:line="288" w:lineRule="auto"/>
        <w:rPr>
          <w:rFonts w:ascii="Calibri" w:eastAsia="Malgun Gothic" w:hAnsi="Calibri" w:cs="Batang"/>
          <w:lang w:val="en-GB" w:eastAsia="ko-KR"/>
        </w:rPr>
      </w:pPr>
    </w:p>
    <w:p w14:paraId="44DCACF4" w14:textId="0E017B0A" w:rsidR="004A7002" w:rsidRDefault="008B0107"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Multi-connectivity for Control</w:t>
      </w:r>
      <w:r w:rsidR="00B96A9C">
        <w:t xml:space="preserve"> Plane Functionality</w:t>
      </w:r>
      <w:r>
        <w:t xml:space="preserve"> at Relay UE</w:t>
      </w:r>
    </w:p>
    <w:p w14:paraId="25564A91" w14:textId="2BB135CD" w:rsidR="00B96A9C" w:rsidRPr="00B96A9C" w:rsidRDefault="00B96A9C" w:rsidP="00CB3597">
      <w:pPr>
        <w:spacing w:line="288" w:lineRule="auto"/>
        <w:rPr>
          <w:rFonts w:ascii="Calibri" w:eastAsia="Malgun Gothic" w:hAnsi="Calibri" w:cs="Batang"/>
          <w:lang w:val="en-GB" w:eastAsia="ko-KR"/>
        </w:rPr>
      </w:pPr>
      <w:r>
        <w:rPr>
          <w:rFonts w:ascii="Calibri" w:eastAsia="Malgun Gothic" w:hAnsi="Calibri" w:cs="Batang"/>
          <w:lang w:val="en-GB" w:eastAsia="ko-KR"/>
        </w:rPr>
        <w:t xml:space="preserve">Figure 1 below shows </w:t>
      </w:r>
      <w:r w:rsidR="008B0107">
        <w:rPr>
          <w:rFonts w:ascii="Calibri" w:eastAsia="Malgun Gothic" w:hAnsi="Calibri" w:cs="Batang"/>
          <w:lang w:val="en-GB" w:eastAsia="ko-KR"/>
        </w:rPr>
        <w:t>an exemplary scenario for SL Relays where a Remote UE (outside network coverage) is served by a Relay UE which has both FR1 and FR2 connectivity with the network via NR-DC.</w:t>
      </w:r>
    </w:p>
    <w:p w14:paraId="276BA46B" w14:textId="14B94C3C" w:rsidR="00FE3A2D" w:rsidRPr="00692033" w:rsidRDefault="00501C0D" w:rsidP="00FE3A2D">
      <w:pPr>
        <w:pStyle w:val="TH"/>
      </w:pPr>
      <w:r w:rsidRPr="00501C0D">
        <w:rPr>
          <w:noProof/>
        </w:rPr>
        <w:drawing>
          <wp:inline distT="0" distB="0" distL="0" distR="0" wp14:anchorId="23AE67B9" wp14:editId="7C2499DD">
            <wp:extent cx="5008005" cy="3053492"/>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5019418" cy="3060451"/>
                    </a:xfrm>
                    <a:prstGeom prst="rect">
                      <a:avLst/>
                    </a:prstGeom>
                  </pic:spPr>
                </pic:pic>
              </a:graphicData>
            </a:graphic>
          </wp:inline>
        </w:drawing>
      </w:r>
    </w:p>
    <w:p w14:paraId="678F689F" w14:textId="622C2CE2" w:rsidR="00FE3A2D" w:rsidRPr="00692033" w:rsidRDefault="00FE3A2D" w:rsidP="00FE3A2D">
      <w:pPr>
        <w:pStyle w:val="TF"/>
      </w:pPr>
      <w:r w:rsidRPr="00692033">
        <w:t>Fig</w:t>
      </w:r>
      <w:r>
        <w:t>ure</w:t>
      </w:r>
      <w:r w:rsidRPr="00692033">
        <w:t xml:space="preserve">. </w:t>
      </w:r>
      <w:r>
        <w:t>1</w:t>
      </w:r>
      <w:r w:rsidRPr="00692033">
        <w:t xml:space="preserve">: </w:t>
      </w:r>
      <w:r w:rsidR="008B0107">
        <w:t>UE-to-Network (U2N) relay scenario</w:t>
      </w:r>
    </w:p>
    <w:p w14:paraId="07FD2B4F" w14:textId="70F977B4" w:rsidR="00D6142E" w:rsidRDefault="008B0107" w:rsidP="00CB3597">
      <w:pPr>
        <w:spacing w:line="288" w:lineRule="auto"/>
        <w:rPr>
          <w:rFonts w:ascii="Calibri" w:eastAsia="Malgun Gothic" w:hAnsi="Calibri" w:cs="Batang"/>
          <w:lang w:val="en-GB" w:eastAsia="ko-KR"/>
        </w:rPr>
      </w:pPr>
      <w:r>
        <w:rPr>
          <w:rFonts w:ascii="Calibri" w:eastAsia="Malgun Gothic" w:hAnsi="Calibri" w:cs="Batang"/>
          <w:lang w:val="en-GB" w:eastAsia="ko-KR"/>
        </w:rPr>
        <w:t xml:space="preserve">While the Rel-17 SL Relay WID clearly indicates that the Remote UE will </w:t>
      </w:r>
      <w:r w:rsidR="00501C0D">
        <w:rPr>
          <w:rFonts w:ascii="Calibri" w:eastAsia="Malgun Gothic" w:hAnsi="Calibri" w:cs="Batang"/>
          <w:lang w:val="en-GB" w:eastAsia="ko-KR"/>
        </w:rPr>
        <w:t xml:space="preserve">only have single connection towards the </w:t>
      </w:r>
      <w:r w:rsidR="00D6142E">
        <w:rPr>
          <w:rFonts w:ascii="Calibri" w:eastAsia="Malgun Gothic" w:hAnsi="Calibri" w:cs="Batang"/>
          <w:lang w:val="en-GB" w:eastAsia="ko-KR"/>
        </w:rPr>
        <w:t>network</w:t>
      </w:r>
      <w:r w:rsidR="00501C0D">
        <w:rPr>
          <w:rFonts w:ascii="Calibri" w:eastAsia="Malgun Gothic" w:hAnsi="Calibri" w:cs="Batang"/>
          <w:lang w:val="en-GB" w:eastAsia="ko-KR"/>
        </w:rPr>
        <w:t xml:space="preserve"> via a direct or indirect link, it does not preclude and in fact it is beneficial if the Relay UE can leverage multi-connectivity via NR-DC to for control plane functionality related to the U2N operation as well as robustness and load-balancing for the data plane as well. For example, maintaining connectivity between the network and the remote UE may be maintained via a FR1 link from a macro cell which has a large coverage area and is robust even when the Relay UE is mobile within the cell. However, depending on the traffic type (e.g. video streaming) and network load, the data plane traffic for the Remote UE </w:t>
      </w:r>
      <w:r w:rsidR="00D6142E">
        <w:rPr>
          <w:rFonts w:ascii="Calibri" w:eastAsia="Malgun Gothic" w:hAnsi="Calibri" w:cs="Batang"/>
          <w:lang w:val="en-GB" w:eastAsia="ko-KR"/>
        </w:rPr>
        <w:t xml:space="preserve">may be better served to the Relay UE via a FR2 link (e.g. via a </w:t>
      </w:r>
      <w:proofErr w:type="spellStart"/>
      <w:r w:rsidR="00D6142E">
        <w:rPr>
          <w:rFonts w:ascii="Calibri" w:eastAsia="Malgun Gothic" w:hAnsi="Calibri" w:cs="Batang"/>
          <w:lang w:val="en-GB" w:eastAsia="ko-KR"/>
        </w:rPr>
        <w:t>mmW</w:t>
      </w:r>
      <w:proofErr w:type="spellEnd"/>
      <w:r w:rsidR="00D6142E">
        <w:rPr>
          <w:rFonts w:ascii="Calibri" w:eastAsia="Malgun Gothic" w:hAnsi="Calibri" w:cs="Batang"/>
          <w:lang w:val="en-GB" w:eastAsia="ko-KR"/>
        </w:rPr>
        <w:t xml:space="preserve"> small cell). </w:t>
      </w:r>
    </w:p>
    <w:p w14:paraId="52A12325" w14:textId="114A492F" w:rsidR="00FE3A2D" w:rsidRDefault="00D6142E" w:rsidP="00CB3597">
      <w:pPr>
        <w:spacing w:line="288" w:lineRule="auto"/>
        <w:rPr>
          <w:rFonts w:ascii="Calibri" w:eastAsia="Malgun Gothic" w:hAnsi="Calibri" w:cs="Batang"/>
          <w:lang w:val="en-GB" w:eastAsia="ko-KR"/>
        </w:rPr>
      </w:pPr>
      <w:r>
        <w:rPr>
          <w:rFonts w:ascii="Calibri" w:eastAsia="Malgun Gothic" w:hAnsi="Calibri" w:cs="Batang"/>
          <w:lang w:val="en-GB" w:eastAsia="ko-KR"/>
        </w:rPr>
        <w:t>In 5G SA deployments, it is expected that the use of FR1 and FR2 can be simultaneously operated via carrier aggregation or dual connectivity (NR-DC). NR-DC especially is practical since it does not require the MCG and SCG to be physically co-located and tolerates a higher latency of the backhaul. As a result, it is important for RAN2 to discuss the feasibility and benefits of the scenario shown in Figure 1 where control plane and data plane separation can be achieved via NR-DC at the Relay UE in a transparent manner to the Remote UE.</w:t>
      </w:r>
    </w:p>
    <w:p w14:paraId="536F4ECD" w14:textId="5996B892" w:rsidR="00F6038A" w:rsidRPr="00F6038A" w:rsidRDefault="00F6038A" w:rsidP="00CB3597">
      <w:pPr>
        <w:spacing w:line="288" w:lineRule="auto"/>
        <w:rPr>
          <w:rFonts w:ascii="Calibri" w:eastAsia="Malgun Gothic" w:hAnsi="Calibri" w:cs="Batang"/>
          <w:b/>
          <w:bCs/>
          <w:lang w:val="en-GB" w:eastAsia="ko-KR"/>
        </w:rPr>
      </w:pPr>
      <w:r>
        <w:rPr>
          <w:rFonts w:ascii="Calibri" w:eastAsia="Malgun Gothic" w:hAnsi="Calibri" w:cs="Batang"/>
          <w:b/>
          <w:bCs/>
          <w:lang w:val="en-GB" w:eastAsia="ko-KR"/>
        </w:rPr>
        <w:t xml:space="preserve">Proposal 1: </w:t>
      </w:r>
      <w:r w:rsidR="00D6142E">
        <w:rPr>
          <w:rFonts w:ascii="Calibri" w:eastAsia="Malgun Gothic" w:hAnsi="Calibri" w:cs="Batang"/>
          <w:b/>
          <w:bCs/>
          <w:lang w:val="en-GB" w:eastAsia="ko-KR"/>
        </w:rPr>
        <w:t>RAN2 to discuss the feasibility and benefits of supporting NR-DC at the Relay UE while maintaining a single connection towards the network at the Remote UE.</w:t>
      </w:r>
    </w:p>
    <w:p w14:paraId="35F424EC" w14:textId="7054AA6A" w:rsidR="00D6142E" w:rsidRDefault="00D6142E" w:rsidP="00D6142E">
      <w:pPr>
        <w:spacing w:line="288" w:lineRule="auto"/>
        <w:rPr>
          <w:rFonts w:ascii="Calibri" w:eastAsia="Malgun Gothic" w:hAnsi="Calibri" w:cs="Batang"/>
          <w:lang w:val="en-GB" w:eastAsia="ko-KR"/>
        </w:rPr>
      </w:pPr>
      <w:r>
        <w:rPr>
          <w:rFonts w:ascii="Calibri" w:eastAsia="Malgun Gothic" w:hAnsi="Calibri" w:cs="Batang"/>
          <w:lang w:val="en-GB" w:eastAsia="ko-KR"/>
        </w:rPr>
        <w:t>It should also be noted, that such a CP/UP split in an L2 relay architecture is already supported for NR in case of Integrated Access and Backhaul (IAB) since Rel-16 for EN-DC is being further enhanced for NR-DC in Rel-17</w:t>
      </w:r>
      <w:r w:rsidR="008B5936">
        <w:rPr>
          <w:rFonts w:ascii="Calibri" w:eastAsia="Malgun Gothic" w:hAnsi="Calibri" w:cs="Batang"/>
          <w:lang w:val="en-GB" w:eastAsia="ko-KR"/>
        </w:rPr>
        <w:t xml:space="preserve"> [2]</w:t>
      </w:r>
      <w:r>
        <w:rPr>
          <w:rFonts w:ascii="Calibri" w:eastAsia="Malgun Gothic" w:hAnsi="Calibri" w:cs="Batang"/>
          <w:lang w:val="en-GB" w:eastAsia="ko-KR"/>
        </w:rPr>
        <w:t xml:space="preserve">. RAN2 should therefore consider the potential for leveraging IAB protocols and procedures for </w:t>
      </w:r>
      <w:r w:rsidR="008B5936">
        <w:rPr>
          <w:rFonts w:ascii="Calibri" w:eastAsia="Malgun Gothic" w:hAnsi="Calibri" w:cs="Batang"/>
          <w:lang w:val="en-GB" w:eastAsia="ko-KR"/>
        </w:rPr>
        <w:t>enabling</w:t>
      </w:r>
      <w:r>
        <w:rPr>
          <w:rFonts w:ascii="Calibri" w:eastAsia="Malgun Gothic" w:hAnsi="Calibri" w:cs="Batang"/>
          <w:lang w:val="en-GB" w:eastAsia="ko-KR"/>
        </w:rPr>
        <w:t xml:space="preserve"> multi-connectivity at the SL Relay UE in order to e</w:t>
      </w:r>
      <w:r w:rsidR="008B5936">
        <w:rPr>
          <w:rFonts w:ascii="Calibri" w:eastAsia="Malgun Gothic" w:hAnsi="Calibri" w:cs="Batang"/>
          <w:lang w:val="en-GB" w:eastAsia="ko-KR"/>
        </w:rPr>
        <w:t>fficiently support this scenario in Rel-17.</w:t>
      </w:r>
    </w:p>
    <w:p w14:paraId="220DCE5C" w14:textId="6E8059F3" w:rsidR="004A7002" w:rsidRPr="004131D6" w:rsidRDefault="008B5936" w:rsidP="008B5936">
      <w:pPr>
        <w:spacing w:line="288" w:lineRule="auto"/>
        <w:rPr>
          <w:rFonts w:ascii="Calibri" w:eastAsia="Malgun Gothic" w:hAnsi="Calibri" w:cs="Batang"/>
          <w:lang w:val="en-GB" w:eastAsia="ko-KR"/>
        </w:rPr>
      </w:pPr>
      <w:r>
        <w:rPr>
          <w:rFonts w:ascii="Calibri" w:eastAsia="Malgun Gothic" w:hAnsi="Calibri" w:cs="Batang"/>
          <w:b/>
          <w:bCs/>
          <w:lang w:val="en-GB" w:eastAsia="ko-KR"/>
        </w:rPr>
        <w:t xml:space="preserve">Proposal 2: </w:t>
      </w:r>
      <w:r w:rsidRPr="008B5936">
        <w:rPr>
          <w:rFonts w:ascii="Calibri" w:eastAsia="Malgun Gothic" w:hAnsi="Calibri" w:cs="Batang"/>
          <w:b/>
          <w:bCs/>
          <w:lang w:val="en-GB" w:eastAsia="ko-KR"/>
        </w:rPr>
        <w:t xml:space="preserve">RAN2 should consider the potential for leveraging IAB </w:t>
      </w:r>
      <w:r>
        <w:rPr>
          <w:rFonts w:ascii="Calibri" w:eastAsia="Malgun Gothic" w:hAnsi="Calibri" w:cs="Batang"/>
          <w:b/>
          <w:bCs/>
          <w:lang w:val="en-GB" w:eastAsia="ko-KR"/>
        </w:rPr>
        <w:t xml:space="preserve">CP/UP separation </w:t>
      </w:r>
      <w:r w:rsidRPr="008B5936">
        <w:rPr>
          <w:rFonts w:ascii="Calibri" w:eastAsia="Malgun Gothic" w:hAnsi="Calibri" w:cs="Batang"/>
          <w:b/>
          <w:bCs/>
          <w:lang w:val="en-GB" w:eastAsia="ko-KR"/>
        </w:rPr>
        <w:t>protocols and procedures for enabling multi-connectivity at the SL Relay UE</w:t>
      </w:r>
      <w:r>
        <w:rPr>
          <w:rFonts w:ascii="Calibri" w:eastAsia="Malgun Gothic" w:hAnsi="Calibri" w:cs="Batang"/>
          <w:b/>
          <w:bCs/>
          <w:lang w:val="en-GB" w:eastAsia="ko-KR"/>
        </w:rPr>
        <w:t xml:space="preserve"> via NR-DC.</w:t>
      </w:r>
    </w:p>
    <w:p w14:paraId="5A1EDEDE" w14:textId="6D58E262" w:rsidR="007A65C0" w:rsidRDefault="007A65C0" w:rsidP="00FE3A2D">
      <w:pPr>
        <w:rPr>
          <w:rFonts w:ascii="Calibri" w:hAnsi="Calibri"/>
          <w:b/>
        </w:rPr>
      </w:pPr>
    </w:p>
    <w:p w14:paraId="05F1AD7C" w14:textId="77777777" w:rsidR="007A65C0" w:rsidRPr="00DC7782" w:rsidRDefault="007A65C0" w:rsidP="00FE3A2D">
      <w:pPr>
        <w:rPr>
          <w:rFonts w:ascii="Calibri" w:eastAsia="Malgun Gothic" w:hAnsi="Calibri" w:cs="Batang"/>
          <w:b/>
          <w:bCs/>
          <w:lang w:val="en-GB" w:eastAsia="ko-KR"/>
        </w:rPr>
      </w:pPr>
    </w:p>
    <w:p w14:paraId="1CB886AE"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0CFE98AB" w14:textId="2745DD71" w:rsidR="00D624C1" w:rsidRPr="00D624C1" w:rsidRDefault="004A7002" w:rsidP="00D624C1">
      <w:pPr>
        <w:pStyle w:val="maintext"/>
        <w:ind w:firstLineChars="0" w:firstLine="0"/>
        <w:rPr>
          <w:rFonts w:ascii="Calibri" w:hAnsi="Calibri"/>
        </w:rPr>
      </w:pPr>
      <w:r>
        <w:rPr>
          <w:rFonts w:ascii="Calibri" w:hAnsi="Calibri"/>
        </w:rPr>
        <w:t xml:space="preserve">This contribution discussed requirements and solutions for </w:t>
      </w:r>
      <w:r w:rsidR="008B5936">
        <w:rPr>
          <w:rFonts w:ascii="Calibri" w:hAnsi="Calibri"/>
        </w:rPr>
        <w:t>supporting multi-connectivity</w:t>
      </w:r>
      <w:r w:rsidR="007A65C0">
        <w:rPr>
          <w:rFonts w:ascii="Calibri" w:hAnsi="Calibri"/>
        </w:rPr>
        <w:t xml:space="preserve"> </w:t>
      </w:r>
      <w:r w:rsidR="008B5936">
        <w:rPr>
          <w:rFonts w:ascii="Calibri" w:hAnsi="Calibri"/>
        </w:rPr>
        <w:t>at the Relay UE</w:t>
      </w:r>
      <w:r w:rsidR="007A65C0">
        <w:rPr>
          <w:rFonts w:ascii="Calibri" w:hAnsi="Calibri"/>
        </w:rPr>
        <w:t xml:space="preserve"> </w:t>
      </w:r>
      <w:r w:rsidR="008B5936">
        <w:rPr>
          <w:rFonts w:ascii="Calibri" w:hAnsi="Calibri"/>
        </w:rPr>
        <w:t>for SL U2N Relays.</w:t>
      </w:r>
    </w:p>
    <w:p w14:paraId="738355BA" w14:textId="77777777" w:rsidR="008B5936" w:rsidRPr="00F6038A" w:rsidRDefault="008B5936" w:rsidP="008B5936">
      <w:pPr>
        <w:spacing w:line="288" w:lineRule="auto"/>
        <w:rPr>
          <w:rFonts w:ascii="Calibri" w:eastAsia="Malgun Gothic" w:hAnsi="Calibri" w:cs="Batang"/>
          <w:b/>
          <w:bCs/>
          <w:lang w:val="en-GB" w:eastAsia="ko-KR"/>
        </w:rPr>
      </w:pPr>
      <w:r>
        <w:rPr>
          <w:rFonts w:ascii="Calibri" w:eastAsia="Malgun Gothic" w:hAnsi="Calibri" w:cs="Batang"/>
          <w:b/>
          <w:bCs/>
          <w:lang w:val="en-GB" w:eastAsia="ko-KR"/>
        </w:rPr>
        <w:t>Proposal 1: RAN2 to discuss the feasibility and benefits of supporting NR-DC at the Relay UE while maintaining a single connection towards the network at the Remote UE.</w:t>
      </w:r>
    </w:p>
    <w:p w14:paraId="1E21707D" w14:textId="77777777" w:rsidR="008B5936" w:rsidRPr="004131D6" w:rsidRDefault="008B5936" w:rsidP="008B5936">
      <w:pPr>
        <w:spacing w:line="288" w:lineRule="auto"/>
        <w:rPr>
          <w:rFonts w:ascii="Calibri" w:eastAsia="Malgun Gothic" w:hAnsi="Calibri" w:cs="Batang"/>
          <w:lang w:val="en-GB" w:eastAsia="ko-KR"/>
        </w:rPr>
      </w:pPr>
      <w:r>
        <w:rPr>
          <w:rFonts w:ascii="Calibri" w:eastAsia="Malgun Gothic" w:hAnsi="Calibri" w:cs="Batang"/>
          <w:b/>
          <w:bCs/>
          <w:lang w:val="en-GB" w:eastAsia="ko-KR"/>
        </w:rPr>
        <w:t xml:space="preserve">Proposal 2: </w:t>
      </w:r>
      <w:r w:rsidRPr="008B5936">
        <w:rPr>
          <w:rFonts w:ascii="Calibri" w:eastAsia="Malgun Gothic" w:hAnsi="Calibri" w:cs="Batang"/>
          <w:b/>
          <w:bCs/>
          <w:lang w:val="en-GB" w:eastAsia="ko-KR"/>
        </w:rPr>
        <w:t xml:space="preserve">RAN2 should consider the potential for leveraging IAB </w:t>
      </w:r>
      <w:r>
        <w:rPr>
          <w:rFonts w:ascii="Calibri" w:eastAsia="Malgun Gothic" w:hAnsi="Calibri" w:cs="Batang"/>
          <w:b/>
          <w:bCs/>
          <w:lang w:val="en-GB" w:eastAsia="ko-KR"/>
        </w:rPr>
        <w:t xml:space="preserve">CP/UP separation </w:t>
      </w:r>
      <w:r w:rsidRPr="008B5936">
        <w:rPr>
          <w:rFonts w:ascii="Calibri" w:eastAsia="Malgun Gothic" w:hAnsi="Calibri" w:cs="Batang"/>
          <w:b/>
          <w:bCs/>
          <w:lang w:val="en-GB" w:eastAsia="ko-KR"/>
        </w:rPr>
        <w:t>protocols and procedures for enabling multi-connectivity at the SL Relay UE</w:t>
      </w:r>
      <w:r>
        <w:rPr>
          <w:rFonts w:ascii="Calibri" w:eastAsia="Malgun Gothic" w:hAnsi="Calibri" w:cs="Batang"/>
          <w:b/>
          <w:bCs/>
          <w:lang w:val="en-GB" w:eastAsia="ko-KR"/>
        </w:rPr>
        <w:t xml:space="preserve"> via NR-DC.</w:t>
      </w:r>
    </w:p>
    <w:p w14:paraId="01F630F0" w14:textId="77777777" w:rsidR="007A65C0" w:rsidRPr="00F6038A" w:rsidRDefault="007A65C0" w:rsidP="007A65C0">
      <w:pPr>
        <w:spacing w:line="288" w:lineRule="auto"/>
        <w:rPr>
          <w:rFonts w:ascii="Calibri" w:eastAsia="Malgun Gothic" w:hAnsi="Calibri" w:cs="Batang"/>
          <w:b/>
          <w:bCs/>
          <w:lang w:val="en-GB" w:eastAsia="ko-KR"/>
        </w:rPr>
      </w:pPr>
    </w:p>
    <w:p w14:paraId="3CFA9471" w14:textId="256634A9"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r w:rsidR="00D624C1">
        <w:t>s</w:t>
      </w:r>
    </w:p>
    <w:p w14:paraId="5AEE4E88" w14:textId="162BDF70" w:rsidR="007A3734" w:rsidRDefault="004131D6" w:rsidP="00BD288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w:t>
      </w:r>
      <w:r w:rsidR="00D6142E">
        <w:rPr>
          <w:rFonts w:cs="Times New Roman"/>
          <w:lang w:eastAsia="ko-KR"/>
        </w:rPr>
        <w:t>210904</w:t>
      </w:r>
      <w:r w:rsidR="004A7002">
        <w:rPr>
          <w:rFonts w:cs="Times New Roman"/>
          <w:lang w:eastAsia="ko-KR"/>
        </w:rPr>
        <w:t xml:space="preserve">, </w:t>
      </w:r>
      <w:r w:rsidR="00FE3A2D" w:rsidRPr="00FE3A2D">
        <w:rPr>
          <w:rFonts w:cs="Times New Roman"/>
          <w:lang w:eastAsia="ko-KR"/>
        </w:rPr>
        <w:t xml:space="preserve">New </w:t>
      </w:r>
      <w:r w:rsidR="00D6142E">
        <w:rPr>
          <w:rFonts w:cs="Times New Roman"/>
          <w:lang w:eastAsia="ko-KR"/>
        </w:rPr>
        <w:t>W</w:t>
      </w:r>
      <w:r w:rsidR="00FE3A2D" w:rsidRPr="00FE3A2D">
        <w:rPr>
          <w:rFonts w:cs="Times New Roman"/>
          <w:lang w:eastAsia="ko-KR"/>
        </w:rPr>
        <w:t xml:space="preserve">ID on NR </w:t>
      </w:r>
      <w:r w:rsidR="00D6142E">
        <w:rPr>
          <w:rFonts w:cs="Times New Roman"/>
          <w:lang w:eastAsia="ko-KR"/>
        </w:rPr>
        <w:t>S</w:t>
      </w:r>
      <w:r w:rsidR="00FE3A2D" w:rsidRPr="00FE3A2D">
        <w:rPr>
          <w:rFonts w:cs="Times New Roman"/>
          <w:lang w:eastAsia="ko-KR"/>
        </w:rPr>
        <w:t xml:space="preserve">idelink </w:t>
      </w:r>
      <w:r w:rsidR="00D6142E">
        <w:rPr>
          <w:rFonts w:cs="Times New Roman"/>
          <w:lang w:eastAsia="ko-KR"/>
        </w:rPr>
        <w:t>R</w:t>
      </w:r>
      <w:r w:rsidR="00FE3A2D" w:rsidRPr="00FE3A2D">
        <w:rPr>
          <w:rFonts w:cs="Times New Roman"/>
          <w:lang w:eastAsia="ko-KR"/>
        </w:rPr>
        <w:t>elay</w:t>
      </w:r>
      <w:r>
        <w:rPr>
          <w:rFonts w:cs="Times New Roman"/>
          <w:lang w:eastAsia="ko-KR"/>
        </w:rPr>
        <w:t xml:space="preserve">, </w:t>
      </w:r>
      <w:r w:rsidR="00D6142E">
        <w:rPr>
          <w:rFonts w:cs="Times New Roman"/>
          <w:lang w:eastAsia="ko-KR"/>
        </w:rPr>
        <w:t xml:space="preserve">Ericsson (moderator), </w:t>
      </w:r>
      <w:r w:rsidR="00FE3A2D">
        <w:rPr>
          <w:rFonts w:cs="Times New Roman"/>
          <w:lang w:eastAsia="ko-KR"/>
        </w:rPr>
        <w:t>OPPO</w:t>
      </w:r>
      <w:r w:rsidR="00D6142E">
        <w:rPr>
          <w:rFonts w:cs="Times New Roman"/>
          <w:lang w:eastAsia="ko-KR"/>
        </w:rPr>
        <w:t xml:space="preserve"> (rapporteur)</w:t>
      </w:r>
    </w:p>
    <w:p w14:paraId="47AB210B" w14:textId="57BD5952" w:rsidR="007A65C0" w:rsidRPr="00BD2886" w:rsidRDefault="007A65C0" w:rsidP="00BD2886">
      <w:pPr>
        <w:pStyle w:val="2222"/>
        <w:spacing w:after="120" w:line="288" w:lineRule="auto"/>
        <w:ind w:firstLineChars="0" w:firstLine="0"/>
        <w:jc w:val="left"/>
        <w:rPr>
          <w:rFonts w:cs="Times New Roman"/>
          <w:lang w:eastAsia="ko-KR"/>
        </w:rPr>
      </w:pPr>
      <w:r w:rsidRPr="007A65C0">
        <w:rPr>
          <w:rFonts w:cs="Times New Roman"/>
          <w:lang w:eastAsia="ko-KR"/>
        </w:rPr>
        <w:t xml:space="preserve">[2] </w:t>
      </w:r>
      <w:r w:rsidR="008B5936">
        <w:rPr>
          <w:rFonts w:cs="Times New Roman"/>
          <w:lang w:eastAsia="ko-KR"/>
        </w:rPr>
        <w:t>RP-210444, New WID on Enhancements to Integrated Access and Backhaul</w:t>
      </w:r>
    </w:p>
    <w:sectPr w:rsidR="007A65C0" w:rsidRPr="00BD288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017BF" w14:textId="77777777" w:rsidR="00A561AC" w:rsidRDefault="00A561AC" w:rsidP="00424124">
      <w:pPr>
        <w:spacing w:before="0" w:after="0"/>
      </w:pPr>
      <w:r>
        <w:separator/>
      </w:r>
    </w:p>
  </w:endnote>
  <w:endnote w:type="continuationSeparator" w:id="0">
    <w:p w14:paraId="5E5C264C" w14:textId="77777777" w:rsidR="00A561AC" w:rsidRDefault="00A561A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46571" w14:textId="77777777" w:rsidR="00A561AC" w:rsidRDefault="00A561AC" w:rsidP="00424124">
      <w:pPr>
        <w:spacing w:before="0" w:after="0"/>
      </w:pPr>
      <w:r>
        <w:separator/>
      </w:r>
    </w:p>
  </w:footnote>
  <w:footnote w:type="continuationSeparator" w:id="0">
    <w:p w14:paraId="1E94094C" w14:textId="77777777" w:rsidR="00A561AC" w:rsidRDefault="00A561A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8"/>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6"/>
  </w:num>
  <w:num w:numId="8">
    <w:abstractNumId w:val="15"/>
  </w:num>
  <w:num w:numId="9">
    <w:abstractNumId w:val="2"/>
  </w:num>
  <w:num w:numId="10">
    <w:abstractNumId w:val="3"/>
  </w:num>
  <w:num w:numId="11">
    <w:abstractNumId w:val="19"/>
  </w:num>
  <w:num w:numId="12">
    <w:abstractNumId w:val="10"/>
  </w:num>
  <w:num w:numId="13">
    <w:abstractNumId w:val="11"/>
  </w:num>
  <w:num w:numId="14">
    <w:abstractNumId w:val="24"/>
  </w:num>
  <w:num w:numId="15">
    <w:abstractNumId w:val="1"/>
  </w:num>
  <w:num w:numId="16">
    <w:abstractNumId w:val="22"/>
  </w:num>
  <w:num w:numId="17">
    <w:abstractNumId w:val="17"/>
  </w:num>
  <w:num w:numId="18">
    <w:abstractNumId w:val="13"/>
  </w:num>
  <w:num w:numId="19">
    <w:abstractNumId w:val="5"/>
  </w:num>
  <w:num w:numId="20">
    <w:abstractNumId w:val="23"/>
  </w:num>
  <w:num w:numId="21">
    <w:abstractNumId w:val="8"/>
  </w:num>
  <w:num w:numId="22">
    <w:abstractNumId w:val="21"/>
  </w:num>
  <w:num w:numId="23">
    <w:abstractNumId w:val="9"/>
  </w:num>
  <w:num w:numId="24">
    <w:abstractNumId w:val="12"/>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2D3A"/>
    <w:rsid w:val="00085800"/>
    <w:rsid w:val="000865E3"/>
    <w:rsid w:val="000917C5"/>
    <w:rsid w:val="00092E30"/>
    <w:rsid w:val="00097DC6"/>
    <w:rsid w:val="000A36A9"/>
    <w:rsid w:val="000B0720"/>
    <w:rsid w:val="000B1B73"/>
    <w:rsid w:val="000B58AF"/>
    <w:rsid w:val="000B6D99"/>
    <w:rsid w:val="000C05C0"/>
    <w:rsid w:val="000C21D0"/>
    <w:rsid w:val="000C57B9"/>
    <w:rsid w:val="000D38DC"/>
    <w:rsid w:val="000D402F"/>
    <w:rsid w:val="000E2283"/>
    <w:rsid w:val="000E29D8"/>
    <w:rsid w:val="000F259D"/>
    <w:rsid w:val="000F6CCA"/>
    <w:rsid w:val="0010303E"/>
    <w:rsid w:val="0011327D"/>
    <w:rsid w:val="0011588C"/>
    <w:rsid w:val="00116DA6"/>
    <w:rsid w:val="001279BC"/>
    <w:rsid w:val="00131029"/>
    <w:rsid w:val="00137E15"/>
    <w:rsid w:val="001417A8"/>
    <w:rsid w:val="00145C4F"/>
    <w:rsid w:val="00153793"/>
    <w:rsid w:val="00164A98"/>
    <w:rsid w:val="00172743"/>
    <w:rsid w:val="00175301"/>
    <w:rsid w:val="00182657"/>
    <w:rsid w:val="001A5A68"/>
    <w:rsid w:val="001A6212"/>
    <w:rsid w:val="001A75E0"/>
    <w:rsid w:val="001B7305"/>
    <w:rsid w:val="001B731B"/>
    <w:rsid w:val="001C4ACE"/>
    <w:rsid w:val="001C699C"/>
    <w:rsid w:val="001E02F3"/>
    <w:rsid w:val="001E0CE1"/>
    <w:rsid w:val="001E4782"/>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4AF1"/>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05F3"/>
    <w:rsid w:val="002F2F26"/>
    <w:rsid w:val="002F4C25"/>
    <w:rsid w:val="00303715"/>
    <w:rsid w:val="003141F5"/>
    <w:rsid w:val="00315DC4"/>
    <w:rsid w:val="00317020"/>
    <w:rsid w:val="00320B4D"/>
    <w:rsid w:val="00326FF6"/>
    <w:rsid w:val="00327A22"/>
    <w:rsid w:val="00332BB8"/>
    <w:rsid w:val="0033513A"/>
    <w:rsid w:val="00342130"/>
    <w:rsid w:val="00346605"/>
    <w:rsid w:val="00347824"/>
    <w:rsid w:val="00351A03"/>
    <w:rsid w:val="0035318F"/>
    <w:rsid w:val="00354C01"/>
    <w:rsid w:val="0036306A"/>
    <w:rsid w:val="00365A78"/>
    <w:rsid w:val="003727DB"/>
    <w:rsid w:val="003822CC"/>
    <w:rsid w:val="00385177"/>
    <w:rsid w:val="00385F27"/>
    <w:rsid w:val="00386642"/>
    <w:rsid w:val="00386CF0"/>
    <w:rsid w:val="00392176"/>
    <w:rsid w:val="003921D6"/>
    <w:rsid w:val="00396F9F"/>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1BB1"/>
    <w:rsid w:val="004131D6"/>
    <w:rsid w:val="00417F07"/>
    <w:rsid w:val="00424124"/>
    <w:rsid w:val="00434212"/>
    <w:rsid w:val="00440F6E"/>
    <w:rsid w:val="00443645"/>
    <w:rsid w:val="00443CD6"/>
    <w:rsid w:val="004552C9"/>
    <w:rsid w:val="0045674C"/>
    <w:rsid w:val="004607AC"/>
    <w:rsid w:val="0046127E"/>
    <w:rsid w:val="00466E46"/>
    <w:rsid w:val="004678E1"/>
    <w:rsid w:val="004709B7"/>
    <w:rsid w:val="00473281"/>
    <w:rsid w:val="00473B68"/>
    <w:rsid w:val="00481A47"/>
    <w:rsid w:val="0048301B"/>
    <w:rsid w:val="00494D73"/>
    <w:rsid w:val="004A5ABE"/>
    <w:rsid w:val="004A6424"/>
    <w:rsid w:val="004A69D0"/>
    <w:rsid w:val="004A6A82"/>
    <w:rsid w:val="004A7002"/>
    <w:rsid w:val="004B0E87"/>
    <w:rsid w:val="004B6AA8"/>
    <w:rsid w:val="004B6E00"/>
    <w:rsid w:val="004C130E"/>
    <w:rsid w:val="004C186B"/>
    <w:rsid w:val="004C38DD"/>
    <w:rsid w:val="004C3F2E"/>
    <w:rsid w:val="004C4856"/>
    <w:rsid w:val="004C6DC3"/>
    <w:rsid w:val="004C6ED8"/>
    <w:rsid w:val="004C7784"/>
    <w:rsid w:val="004D453B"/>
    <w:rsid w:val="004D780D"/>
    <w:rsid w:val="004D7CF8"/>
    <w:rsid w:val="004E0242"/>
    <w:rsid w:val="004E16A5"/>
    <w:rsid w:val="004E6BC0"/>
    <w:rsid w:val="004E6D3B"/>
    <w:rsid w:val="005007E9"/>
    <w:rsid w:val="00501C0D"/>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1A8A"/>
    <w:rsid w:val="0056238B"/>
    <w:rsid w:val="00565BDB"/>
    <w:rsid w:val="005666A4"/>
    <w:rsid w:val="0057145F"/>
    <w:rsid w:val="00575859"/>
    <w:rsid w:val="005758E7"/>
    <w:rsid w:val="005778C8"/>
    <w:rsid w:val="0058120D"/>
    <w:rsid w:val="00591190"/>
    <w:rsid w:val="005A18B4"/>
    <w:rsid w:val="005A60B4"/>
    <w:rsid w:val="005B47BD"/>
    <w:rsid w:val="005B69C2"/>
    <w:rsid w:val="005B6FA6"/>
    <w:rsid w:val="005D2C51"/>
    <w:rsid w:val="005E2AE1"/>
    <w:rsid w:val="005F21BF"/>
    <w:rsid w:val="005F613D"/>
    <w:rsid w:val="005F705D"/>
    <w:rsid w:val="00600F57"/>
    <w:rsid w:val="00603015"/>
    <w:rsid w:val="0060603E"/>
    <w:rsid w:val="00632789"/>
    <w:rsid w:val="00633934"/>
    <w:rsid w:val="00634707"/>
    <w:rsid w:val="00636F9E"/>
    <w:rsid w:val="006439F2"/>
    <w:rsid w:val="00644034"/>
    <w:rsid w:val="00644F33"/>
    <w:rsid w:val="006477B7"/>
    <w:rsid w:val="00652AC8"/>
    <w:rsid w:val="0065437E"/>
    <w:rsid w:val="00654510"/>
    <w:rsid w:val="00654588"/>
    <w:rsid w:val="0066157D"/>
    <w:rsid w:val="00665936"/>
    <w:rsid w:val="006703A8"/>
    <w:rsid w:val="0067125A"/>
    <w:rsid w:val="00671E30"/>
    <w:rsid w:val="006756FB"/>
    <w:rsid w:val="00677BD0"/>
    <w:rsid w:val="00685B82"/>
    <w:rsid w:val="00685E11"/>
    <w:rsid w:val="0069705B"/>
    <w:rsid w:val="006A04B2"/>
    <w:rsid w:val="006A0EDC"/>
    <w:rsid w:val="006A18DB"/>
    <w:rsid w:val="006A2D2E"/>
    <w:rsid w:val="006B67B9"/>
    <w:rsid w:val="006B7B96"/>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968B8"/>
    <w:rsid w:val="007A2765"/>
    <w:rsid w:val="007A3734"/>
    <w:rsid w:val="007A65C0"/>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A6FC8"/>
    <w:rsid w:val="008B0107"/>
    <w:rsid w:val="008B39B6"/>
    <w:rsid w:val="008B5936"/>
    <w:rsid w:val="008C1AFD"/>
    <w:rsid w:val="008C4B67"/>
    <w:rsid w:val="008D1AEF"/>
    <w:rsid w:val="008E48C2"/>
    <w:rsid w:val="008F0816"/>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3E67"/>
    <w:rsid w:val="00997E4E"/>
    <w:rsid w:val="009A4D63"/>
    <w:rsid w:val="009A54FC"/>
    <w:rsid w:val="009B08C5"/>
    <w:rsid w:val="009B52C0"/>
    <w:rsid w:val="009B75E8"/>
    <w:rsid w:val="009C2167"/>
    <w:rsid w:val="009D46C1"/>
    <w:rsid w:val="009E0D02"/>
    <w:rsid w:val="009E4418"/>
    <w:rsid w:val="009E5838"/>
    <w:rsid w:val="009F4EF4"/>
    <w:rsid w:val="00A0235E"/>
    <w:rsid w:val="00A04526"/>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561AC"/>
    <w:rsid w:val="00A603CE"/>
    <w:rsid w:val="00A605F1"/>
    <w:rsid w:val="00A62B28"/>
    <w:rsid w:val="00A64CF7"/>
    <w:rsid w:val="00A72B33"/>
    <w:rsid w:val="00A821EA"/>
    <w:rsid w:val="00A8721E"/>
    <w:rsid w:val="00A92495"/>
    <w:rsid w:val="00AA3BE3"/>
    <w:rsid w:val="00AA5160"/>
    <w:rsid w:val="00AA5899"/>
    <w:rsid w:val="00AB0589"/>
    <w:rsid w:val="00AB723F"/>
    <w:rsid w:val="00AB75A3"/>
    <w:rsid w:val="00AB7FC6"/>
    <w:rsid w:val="00AC05AE"/>
    <w:rsid w:val="00AD115D"/>
    <w:rsid w:val="00AD16AE"/>
    <w:rsid w:val="00AD6C53"/>
    <w:rsid w:val="00AD7BCD"/>
    <w:rsid w:val="00AE72F4"/>
    <w:rsid w:val="00AF0A4B"/>
    <w:rsid w:val="00AF4BBC"/>
    <w:rsid w:val="00AF5875"/>
    <w:rsid w:val="00AF65DE"/>
    <w:rsid w:val="00B04278"/>
    <w:rsid w:val="00B12672"/>
    <w:rsid w:val="00B2434D"/>
    <w:rsid w:val="00B24D29"/>
    <w:rsid w:val="00B32216"/>
    <w:rsid w:val="00B34716"/>
    <w:rsid w:val="00B3707E"/>
    <w:rsid w:val="00B40DE1"/>
    <w:rsid w:val="00B55FA2"/>
    <w:rsid w:val="00B61A13"/>
    <w:rsid w:val="00B6232D"/>
    <w:rsid w:val="00B648CA"/>
    <w:rsid w:val="00B74894"/>
    <w:rsid w:val="00B749FB"/>
    <w:rsid w:val="00B75FF7"/>
    <w:rsid w:val="00B82B83"/>
    <w:rsid w:val="00B831C8"/>
    <w:rsid w:val="00B909F7"/>
    <w:rsid w:val="00B96A24"/>
    <w:rsid w:val="00B96A9C"/>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4C5B"/>
    <w:rsid w:val="00BE26B4"/>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2DE0"/>
    <w:rsid w:val="00CB3597"/>
    <w:rsid w:val="00CB6D97"/>
    <w:rsid w:val="00CC09CE"/>
    <w:rsid w:val="00CD7B54"/>
    <w:rsid w:val="00CE0C9D"/>
    <w:rsid w:val="00CE1FF5"/>
    <w:rsid w:val="00D10682"/>
    <w:rsid w:val="00D134C5"/>
    <w:rsid w:val="00D23CDC"/>
    <w:rsid w:val="00D26593"/>
    <w:rsid w:val="00D268EB"/>
    <w:rsid w:val="00D26CFF"/>
    <w:rsid w:val="00D274C6"/>
    <w:rsid w:val="00D27AF6"/>
    <w:rsid w:val="00D353B5"/>
    <w:rsid w:val="00D37270"/>
    <w:rsid w:val="00D446F1"/>
    <w:rsid w:val="00D456D8"/>
    <w:rsid w:val="00D45A0E"/>
    <w:rsid w:val="00D4645D"/>
    <w:rsid w:val="00D4758C"/>
    <w:rsid w:val="00D50169"/>
    <w:rsid w:val="00D5391C"/>
    <w:rsid w:val="00D55FAB"/>
    <w:rsid w:val="00D56786"/>
    <w:rsid w:val="00D6142E"/>
    <w:rsid w:val="00D61EAB"/>
    <w:rsid w:val="00D624C1"/>
    <w:rsid w:val="00D701D3"/>
    <w:rsid w:val="00D724F9"/>
    <w:rsid w:val="00D7445F"/>
    <w:rsid w:val="00D91E8D"/>
    <w:rsid w:val="00D92B1D"/>
    <w:rsid w:val="00D93FEB"/>
    <w:rsid w:val="00DA5EAC"/>
    <w:rsid w:val="00DB0323"/>
    <w:rsid w:val="00DB1FA7"/>
    <w:rsid w:val="00DB3BFC"/>
    <w:rsid w:val="00DB5143"/>
    <w:rsid w:val="00DC0E31"/>
    <w:rsid w:val="00DC70D0"/>
    <w:rsid w:val="00DC7782"/>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47A4D"/>
    <w:rsid w:val="00E545F2"/>
    <w:rsid w:val="00E56C7E"/>
    <w:rsid w:val="00E576BD"/>
    <w:rsid w:val="00E57BE9"/>
    <w:rsid w:val="00E604D6"/>
    <w:rsid w:val="00E67086"/>
    <w:rsid w:val="00E8001A"/>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07624"/>
    <w:rsid w:val="00F1311C"/>
    <w:rsid w:val="00F154D0"/>
    <w:rsid w:val="00F2257A"/>
    <w:rsid w:val="00F246F5"/>
    <w:rsid w:val="00F261D6"/>
    <w:rsid w:val="00F26D45"/>
    <w:rsid w:val="00F30C84"/>
    <w:rsid w:val="00F35704"/>
    <w:rsid w:val="00F35911"/>
    <w:rsid w:val="00F35DD7"/>
    <w:rsid w:val="00F42D43"/>
    <w:rsid w:val="00F463C9"/>
    <w:rsid w:val="00F57965"/>
    <w:rsid w:val="00F6038A"/>
    <w:rsid w:val="00F71810"/>
    <w:rsid w:val="00F72ABE"/>
    <w:rsid w:val="00F72B1B"/>
    <w:rsid w:val="00F7596C"/>
    <w:rsid w:val="00F75F2B"/>
    <w:rsid w:val="00F76733"/>
    <w:rsid w:val="00F76A86"/>
    <w:rsid w:val="00F77E12"/>
    <w:rsid w:val="00F814DE"/>
    <w:rsid w:val="00F86EE6"/>
    <w:rsid w:val="00F90045"/>
    <w:rsid w:val="00F91730"/>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3A2D"/>
    <w:rsid w:val="00FE6C15"/>
    <w:rsid w:val="00FF02B6"/>
    <w:rsid w:val="00FF1DFC"/>
    <w:rsid w:val="00FF3CC2"/>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E4BFD"/>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qFormat/>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6B7B96"/>
    <w:pPr>
      <w:numPr>
        <w:numId w:val="22"/>
      </w:numPr>
      <w:spacing w:after="0"/>
      <w:jc w:val="left"/>
    </w:pPr>
    <w:rPr>
      <w:rFonts w:eastAsia="MS Mincho"/>
      <w:b/>
      <w:szCs w:val="24"/>
      <w:lang w:val="en-GB" w:eastAsia="en-GB"/>
    </w:rPr>
  </w:style>
  <w:style w:type="paragraph" w:customStyle="1" w:styleId="TH">
    <w:name w:val="TH"/>
    <w:basedOn w:val="Normal"/>
    <w:link w:val="THChar"/>
    <w:rsid w:val="00FE3A2D"/>
    <w:pPr>
      <w:keepNext/>
      <w:keepLines/>
      <w:overflowPunct w:val="0"/>
      <w:autoSpaceDE w:val="0"/>
      <w:autoSpaceDN w:val="0"/>
      <w:adjustRightInd w:val="0"/>
      <w:spacing w:after="180"/>
      <w:jc w:val="center"/>
      <w:textAlignment w:val="baseline"/>
    </w:pPr>
    <w:rPr>
      <w:b/>
      <w:lang w:val="en-GB" w:eastAsia="ja-JP"/>
    </w:rPr>
  </w:style>
  <w:style w:type="paragraph" w:customStyle="1" w:styleId="TF">
    <w:name w:val="TF"/>
    <w:basedOn w:val="TH"/>
    <w:link w:val="TFChar"/>
    <w:rsid w:val="00FE3A2D"/>
    <w:pPr>
      <w:keepNext w:val="0"/>
      <w:spacing w:before="0" w:after="240"/>
    </w:pPr>
  </w:style>
  <w:style w:type="character" w:customStyle="1" w:styleId="THChar">
    <w:name w:val="TH Char"/>
    <w:link w:val="TH"/>
    <w:qFormat/>
    <w:rsid w:val="00FE3A2D"/>
    <w:rPr>
      <w:rFonts w:ascii="Arial" w:eastAsia="Times New Roman" w:hAnsi="Arial"/>
      <w:b/>
      <w:lang w:val="en-GB" w:eastAsia="ja-JP"/>
    </w:rPr>
  </w:style>
  <w:style w:type="character" w:customStyle="1" w:styleId="TFChar">
    <w:name w:val="TF Char"/>
    <w:link w:val="TF"/>
    <w:qFormat/>
    <w:rsid w:val="00FE3A2D"/>
    <w:rPr>
      <w:rFonts w:ascii="Arial" w:eastAsia="Times New Roman" w:hAnsi="Arial"/>
      <w:b/>
      <w:lang w:val="en-GB" w:eastAsia="ja-JP"/>
    </w:rPr>
  </w:style>
  <w:style w:type="paragraph" w:customStyle="1" w:styleId="NO">
    <w:name w:val="NO"/>
    <w:basedOn w:val="Normal"/>
    <w:rsid w:val="008B0107"/>
    <w:pPr>
      <w:keepLines/>
      <w:overflowPunct w:val="0"/>
      <w:autoSpaceDE w:val="0"/>
      <w:autoSpaceDN w:val="0"/>
      <w:adjustRightInd w:val="0"/>
      <w:spacing w:before="0" w:after="180"/>
      <w:ind w:left="1135" w:hanging="851"/>
      <w:jc w:val="left"/>
      <w:textAlignment w:val="baseline"/>
    </w:pPr>
    <w:rPr>
      <w:rFonts w:ascii="Times New Roman" w:eastAsia="DengXi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F15F-0258-482F-A93A-F3DA0B721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5215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Milap Majmundar (AT&amp;T)</cp:lastModifiedBy>
  <cp:revision>5</cp:revision>
  <cp:lastPrinted>2018-09-28T20:14:00Z</cp:lastPrinted>
  <dcterms:created xsi:type="dcterms:W3CDTF">2021-04-01T17:28:00Z</dcterms:created>
  <dcterms:modified xsi:type="dcterms:W3CDTF">2021-04-01T21:41:00Z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